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EAB6" w14:textId="0F0D9F3B" w:rsidR="00DE2241" w:rsidRPr="00840F6A" w:rsidRDefault="00DE2241" w:rsidP="00141284">
      <w:pPr>
        <w:spacing w:before="600" w:after="480" w:line="360" w:lineRule="auto"/>
        <w:ind w:right="-6"/>
        <w:jc w:val="both"/>
        <w:rPr>
          <w:rFonts w:ascii="Tahoma" w:eastAsia="Times New Roman" w:hAnsi="Tahoma" w:cs="Tahoma"/>
          <w:color w:val="0071CE" w:themeColor="accent6"/>
          <w:sz w:val="28"/>
          <w:szCs w:val="28"/>
          <w:lang w:val="es-ES" w:eastAsia="es-ES"/>
        </w:rPr>
      </w:pPr>
      <w:r w:rsidRPr="00840F6A">
        <w:rPr>
          <w:rFonts w:ascii="Tahoma" w:eastAsia="Times New Roman" w:hAnsi="Tahoma" w:cs="Tahoma"/>
          <w:b/>
          <w:bCs/>
          <w:color w:val="0071CE" w:themeColor="accent6"/>
          <w:sz w:val="28"/>
          <w:szCs w:val="28"/>
          <w:lang w:val="es-ES" w:eastAsia="es-ES"/>
        </w:rPr>
        <w:t xml:space="preserve">SISTEMA INTERNO DE INFORMACIÓN · Canal de Denuncias </w:t>
      </w:r>
    </w:p>
    <w:p w14:paraId="12624806" w14:textId="28D54FD0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sz w:val="22"/>
          <w:szCs w:val="22"/>
          <w:lang w:eastAsia="es-ES"/>
        </w:rPr>
        <w:t xml:space="preserve">Dentro de las obligaciones exigidas por la normativa, se encuentra la publicidad que se ha de dar al </w:t>
      </w: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 xml:space="preserve">SISTEMA INTERNO DE INFORMACIÓN </w:t>
      </w:r>
      <w:r w:rsidR="00723737">
        <w:rPr>
          <w:rFonts w:ascii="Tahoma" w:eastAsia="Times New Roman" w:hAnsi="Tahoma" w:cs="Tahoma"/>
          <w:sz w:val="22"/>
          <w:szCs w:val="22"/>
          <w:lang w:val="es-ES" w:eastAsia="es-ES"/>
        </w:rPr>
        <w:t>-</w:t>
      </w: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 xml:space="preserve"> Canal de Denuncias, cuando la entidad cuenta con página web, por ello, se ha de incluir en la página web </w:t>
      </w:r>
      <w:hyperlink r:id="rId11" w:history="1">
        <w:r w:rsidRPr="004C7143">
          <w:rPr>
            <w:rStyle w:val="Hipervnculo"/>
            <w:rFonts w:eastAsia="Times New Roman" w:cs="Tahoma"/>
            <w:sz w:val="22"/>
            <w:szCs w:val="22"/>
            <w:lang w:val="es-ES" w:eastAsia="es-ES"/>
          </w:rPr>
          <w:t>www.webtenerife.com</w:t>
        </w:r>
      </w:hyperlink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>, la mención a la existencia del Canal, así como, acceso al procedimiento.</w:t>
      </w:r>
    </w:p>
    <w:p w14:paraId="5F71C40D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 xml:space="preserve">Al igual que, en el </w:t>
      </w:r>
      <w:r w:rsidRPr="004C7143">
        <w:rPr>
          <w:rFonts w:ascii="Tahoma" w:eastAsia="Times New Roman" w:hAnsi="Tahoma" w:cs="Tahoma"/>
          <w:b/>
          <w:bCs/>
          <w:sz w:val="22"/>
          <w:szCs w:val="22"/>
          <w:lang w:val="es-ES" w:eastAsia="es-ES"/>
        </w:rPr>
        <w:t>pie de página</w:t>
      </w: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 xml:space="preserve">, se incluye, el AVISO LEGAL, así como otras informaciones, </w:t>
      </w:r>
      <w:r w:rsidRPr="004C7143">
        <w:rPr>
          <w:rFonts w:ascii="Tahoma" w:eastAsia="Times New Roman" w:hAnsi="Tahoma" w:cs="Tahoma"/>
          <w:b/>
          <w:bCs/>
          <w:sz w:val="22"/>
          <w:szCs w:val="22"/>
          <w:lang w:val="es-ES" w:eastAsia="es-ES"/>
        </w:rPr>
        <w:t>hemos de incluir</w:t>
      </w: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>;</w:t>
      </w:r>
    </w:p>
    <w:p w14:paraId="2A7B1791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b/>
          <w:bCs/>
          <w:sz w:val="22"/>
          <w:szCs w:val="22"/>
          <w:lang w:val="es-ES" w:eastAsia="es-ES"/>
        </w:rPr>
        <w:t>SISTEMA INTERNO DE INFORMACIÓN</w:t>
      </w: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 xml:space="preserve">, que ha de ir vinculado a </w:t>
      </w:r>
      <w:hyperlink r:id="rId12" w:history="1">
        <w:r w:rsidRPr="004C7143">
          <w:rPr>
            <w:rStyle w:val="Hipervnculo"/>
            <w:rFonts w:eastAsia="Times New Roman" w:cs="Tahoma"/>
            <w:b/>
            <w:bCs/>
            <w:sz w:val="22"/>
            <w:szCs w:val="22"/>
            <w:lang w:val="es-ES" w:eastAsia="es-ES"/>
          </w:rPr>
          <w:t>http://spet.cumplimientonormativo.info/cdd</w:t>
        </w:r>
      </w:hyperlink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> </w:t>
      </w:r>
    </w:p>
    <w:p w14:paraId="4F43DE48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i/>
          <w:iCs/>
          <w:color w:val="A81B14" w:themeColor="text2" w:themeShade="BF"/>
          <w:sz w:val="22"/>
          <w:szCs w:val="22"/>
          <w:lang w:val="es-ES" w:eastAsia="es-ES"/>
        </w:rPr>
      </w:pPr>
      <w:r w:rsidRPr="00D277D0">
        <w:rPr>
          <w:rFonts w:ascii="Tahoma" w:eastAsia="Times New Roman" w:hAnsi="Tahoma" w:cs="Tahoma"/>
          <w:b/>
          <w:bCs/>
          <w:i/>
          <w:iCs/>
          <w:color w:val="0071CE" w:themeColor="accent6"/>
          <w:sz w:val="22"/>
          <w:szCs w:val="22"/>
          <w:lang w:val="es-ES" w:eastAsia="es-ES"/>
        </w:rPr>
        <w:t>Referencia normativa:</w:t>
      </w:r>
      <w:r w:rsidRPr="00D277D0">
        <w:rPr>
          <w:rFonts w:ascii="Tahoma" w:eastAsia="Times New Roman" w:hAnsi="Tahoma" w:cs="Tahoma"/>
          <w:i/>
          <w:iCs/>
          <w:color w:val="0071CE" w:themeColor="accent6"/>
          <w:sz w:val="22"/>
          <w:szCs w:val="22"/>
          <w:lang w:val="es-ES" w:eastAsia="es-ES"/>
        </w:rPr>
        <w:t xml:space="preserve"> </w:t>
      </w:r>
      <w:r w:rsidRPr="004C7143">
        <w:rPr>
          <w:rFonts w:ascii="Tahoma" w:eastAsia="Times New Roman" w:hAnsi="Tahoma" w:cs="Tahoma"/>
          <w:b/>
          <w:bCs/>
          <w:sz w:val="22"/>
          <w:szCs w:val="22"/>
          <w:lang w:val="es-ES" w:eastAsia="es-ES"/>
        </w:rPr>
        <w:t>Ley 2/2023, de 20 de febrero, reguladora de la protección de las personas que informen sobre infracciones normativas y de lucha contra la corrupción.</w:t>
      </w:r>
    </w:p>
    <w:p w14:paraId="79B34A5E" w14:textId="77777777" w:rsidR="00DE2241" w:rsidRPr="00D277D0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i/>
          <w:iCs/>
          <w:color w:val="0071CE" w:themeColor="accent6"/>
          <w:sz w:val="22"/>
          <w:szCs w:val="22"/>
          <w:lang w:val="es-ES" w:eastAsia="es-ES"/>
        </w:rPr>
      </w:pPr>
      <w:r w:rsidRPr="00D277D0">
        <w:rPr>
          <w:rFonts w:ascii="Tahoma" w:eastAsia="Times New Roman" w:hAnsi="Tahoma" w:cs="Tahoma"/>
          <w:b/>
          <w:bCs/>
          <w:i/>
          <w:iCs/>
          <w:color w:val="0071CE" w:themeColor="accent6"/>
          <w:sz w:val="22"/>
          <w:szCs w:val="22"/>
          <w:lang w:val="es-ES" w:eastAsia="es-ES"/>
        </w:rPr>
        <w:t>Artículo 25. Información sobre los canales interno y externo de información.</w:t>
      </w:r>
    </w:p>
    <w:p w14:paraId="6E38ECA9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b/>
          <w:bCs/>
          <w:i/>
          <w:iCs/>
          <w:sz w:val="22"/>
          <w:szCs w:val="22"/>
          <w:lang w:val="es-ES" w:eastAsia="es-ES"/>
        </w:rPr>
        <w:t>Los sujetos comprendidos dentro del ámbito de aplicación de esta ley proporcionarán la información adecuada de forma clara y fácilmente accesible, sobre el uso de todo canal interno de información que hayan implantado</w:t>
      </w:r>
      <w:r w:rsidRPr="004C7143"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  <w:t xml:space="preserve">, así como sobre los principios esenciales del procedimiento de gestión. </w:t>
      </w:r>
      <w:r w:rsidRPr="004C7143">
        <w:rPr>
          <w:rFonts w:ascii="Tahoma" w:eastAsia="Times New Roman" w:hAnsi="Tahoma" w:cs="Tahoma"/>
          <w:i/>
          <w:iCs/>
          <w:sz w:val="22"/>
          <w:szCs w:val="22"/>
          <w:u w:val="single"/>
          <w:lang w:val="es-ES" w:eastAsia="es-ES"/>
        </w:rPr>
        <w:t>En caso de contar con una página web, dicha información deberá constar en la página de inicio, en una sección separada y fácilmente identificable</w:t>
      </w:r>
      <w:r w:rsidRPr="004C7143"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  <w:t>.</w:t>
      </w:r>
    </w:p>
    <w:p w14:paraId="18DBFA9F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  <w:t>De igual modo, las autoridades competentes a las que se refiere el artículo 24 publicarán, en una sección separada, fácilmente identificable y accesible de su sede electrónica, como mínimo, la información siguiente:</w:t>
      </w:r>
    </w:p>
    <w:p w14:paraId="4A2A568A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  <w:t>a)      las condiciones para poder acogerse a la protección en virtud de esta ley;</w:t>
      </w:r>
    </w:p>
    <w:p w14:paraId="5546CF7D" w14:textId="57599915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  <w:t>b)      los datos de contacto para los canales externos de información previstos en el título III, en particular, las direcciones electrónica y postal y los números de teléfono asociados a dichos canales, indicando si se graban las conversaciones telefónicas;</w:t>
      </w:r>
    </w:p>
    <w:p w14:paraId="1892C2B5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  <w:lastRenderedPageBreak/>
        <w:t>c)       los procedimientos de gestión, incluida la manera en que la autoridad competente puede solicitar al informante aclaraciones sobre la información comunicada o que proporcione información adicional, el plazo para dar respuesta al informante, en su caso, y el tipo y contenido de dicha respuesta;</w:t>
      </w:r>
    </w:p>
    <w:p w14:paraId="51445A7E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  <w:t>d)      el régimen de confidencialidad aplicable a las comunicaciones y, en particular, la información sobre el tratamiento de los datos personales de conformidad con lo dispuesto en el Reglamento (UE) 2016/679 del Parlamento Europeo y del Consejo, de 27 de abril de 2016, en la Ley Orgánica 3/2018, de 5 de diciembre, y en el título VII de esta ley.</w:t>
      </w:r>
    </w:p>
    <w:p w14:paraId="46506B37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  <w:t>e)      las vías de recurso y los procedimientos para la protección frente a represalias, y la disponibilidad de asesoramiento confidencial. En particular, se contemplarán las condiciones de exención de responsabilidad y de atenuación de la sanción a las que se refiere el artículo 40.</w:t>
      </w:r>
    </w:p>
    <w:p w14:paraId="162DF5D9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i/>
          <w:iCs/>
          <w:sz w:val="22"/>
          <w:szCs w:val="22"/>
          <w:lang w:val="es-ES" w:eastAsia="es-ES"/>
        </w:rPr>
        <w:t>f)        los datos de contacto de la Autoridad Independiente de Protección del Informante, A.A.I. o de la autoridad u organismo competente de que se trate.</w:t>
      </w:r>
    </w:p>
    <w:p w14:paraId="7C3D49A4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>SPET, Turismo de Tenerife, S.A.</w:t>
      </w:r>
      <w:r w:rsidRPr="004C7143">
        <w:rPr>
          <w:rFonts w:ascii="Tahoma" w:eastAsia="Times New Roman" w:hAnsi="Tahoma" w:cs="Tahoma"/>
          <w:b/>
          <w:bCs/>
          <w:sz w:val="22"/>
          <w:szCs w:val="22"/>
          <w:lang w:val="es-ES" w:eastAsia="es-ES"/>
        </w:rPr>
        <w:t xml:space="preserve"> </w:t>
      </w: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 xml:space="preserve">en su público y manifiesto compromiso de adoptar una actitud proactiva para la detección y actuación frente a comportamientos o escenarios irregulares o ilícitos que pudieran tener lugar en su seno, y cuya autoría pueda corresponder a los/las propios/as empleados/as, como a terceras personas que tengan algún tipo de relación o vinculación con esta, ha aprobado un </w:t>
      </w:r>
      <w:r w:rsidRPr="004C7143">
        <w:rPr>
          <w:rFonts w:ascii="Tahoma" w:eastAsia="Times New Roman" w:hAnsi="Tahoma" w:cs="Tahoma"/>
          <w:b/>
          <w:bCs/>
          <w:sz w:val="22"/>
          <w:szCs w:val="22"/>
          <w:lang w:val="es-ES" w:eastAsia="es-ES"/>
        </w:rPr>
        <w:t xml:space="preserve">PROTOCOLO de gestión y procedimientos del SISTEMA INTERNO DE INFORMACIÓN · Canal de Denuncias, </w:t>
      </w:r>
      <w:r w:rsidRPr="004C7143">
        <w:rPr>
          <w:rFonts w:ascii="Tahoma" w:eastAsia="Times New Roman" w:hAnsi="Tahoma" w:cs="Tahoma"/>
          <w:bCs/>
          <w:sz w:val="22"/>
          <w:szCs w:val="22"/>
          <w:lang w:val="es-ES" w:eastAsia="es-ES"/>
        </w:rPr>
        <w:t>por medio del cual pretende garantizar un entorno abierto, seguro y confiable, que</w:t>
      </w:r>
      <w:r w:rsidRPr="004C7143">
        <w:rPr>
          <w:rFonts w:ascii="Tahoma" w:eastAsia="Times New Roman" w:hAnsi="Tahoma" w:cs="Tahoma"/>
          <w:b/>
          <w:bCs/>
          <w:sz w:val="22"/>
          <w:szCs w:val="22"/>
          <w:lang w:val="es-ES" w:eastAsia="es-ES"/>
        </w:rPr>
        <w:t xml:space="preserve"> </w:t>
      </w: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>permita comunicar</w:t>
      </w:r>
      <w:r w:rsidRPr="004C7143">
        <w:rPr>
          <w:rFonts w:ascii="Tahoma" w:eastAsia="Times New Roman" w:hAnsi="Tahoma" w:cs="Tahoma"/>
          <w:b/>
          <w:bCs/>
          <w:sz w:val="22"/>
          <w:szCs w:val="22"/>
          <w:lang w:val="es-ES" w:eastAsia="es-ES"/>
        </w:rPr>
        <w:t xml:space="preserve">, </w:t>
      </w: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>incluso de forma anónima, aquellos comportamientos que no sean acordes con los principios recogidos en el Código de Conducta, la normativa interna o que sean contrarios a la legislación aplicable.</w:t>
      </w:r>
    </w:p>
    <w:p w14:paraId="563F012D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 xml:space="preserve">Dicho protocolo es propuesto para su aprobación por la representación legal de la empresa y ratificación del Consejo de Administración. </w:t>
      </w:r>
    </w:p>
    <w:p w14:paraId="4A1D0B11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 xml:space="preserve">Los datos que se pudieran facilitar con ocasión de la </w:t>
      </w:r>
      <w:r w:rsidRPr="004C7143">
        <w:rPr>
          <w:rFonts w:ascii="Tahoma" w:eastAsia="Times New Roman" w:hAnsi="Tahoma" w:cs="Tahoma"/>
          <w:bCs/>
          <w:sz w:val="22"/>
          <w:szCs w:val="22"/>
          <w:lang w:val="es-ES" w:eastAsia="es-ES"/>
        </w:rPr>
        <w:t>comunicación, consulta, queja o denuncia</w:t>
      </w: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>, y el contenido de esta, se pondrán exclusivamente en conocimiento del personal de aquellas áreas o entidades externas cuya colaboración sea imprescindible en la investigación y esclarecimiento de los hechos denunciados, dando estricto cumplimiento a la normativa vigente en materia de Protección de Datos, g</w:t>
      </w:r>
      <w:r w:rsidRPr="004C7143">
        <w:rPr>
          <w:rFonts w:ascii="Tahoma" w:eastAsia="Times New Roman" w:hAnsi="Tahoma" w:cs="Tahoma"/>
          <w:bCs/>
          <w:sz w:val="22"/>
          <w:szCs w:val="22"/>
          <w:lang w:val="es-ES" w:eastAsia="es-ES"/>
        </w:rPr>
        <w:t xml:space="preserve">arantizándose la confidencialidad y ausencia de cualquier tipo de represalia por parte de </w:t>
      </w: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 xml:space="preserve">SPET, Turismo de Tenerife, S.A. </w:t>
      </w:r>
      <w:r w:rsidRPr="004C7143">
        <w:rPr>
          <w:rFonts w:ascii="Tahoma" w:eastAsia="Times New Roman" w:hAnsi="Tahoma" w:cs="Tahoma"/>
          <w:bCs/>
          <w:sz w:val="22"/>
          <w:szCs w:val="22"/>
          <w:lang w:val="es-ES" w:eastAsia="es-ES"/>
        </w:rPr>
        <w:t>o terceros vinculados a esta.</w:t>
      </w:r>
    </w:p>
    <w:p w14:paraId="573E5E58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lastRenderedPageBreak/>
        <w:t>El SISTEMA INTERNO DE INFORMACIÓN · Canal de Denuncias se erige como un mecanismo interno de control, que, en ningún caso, constituirá óbice, impedimento u obstáculo que restrinja o condicione la puesta en conocimiento de los hechos ante las autoridades competentes.</w:t>
      </w:r>
    </w:p>
    <w:p w14:paraId="0EB647A3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>La comunicación deberá realizarse preferiblemente a través de los formularios específicos que</w:t>
      </w:r>
      <w:r w:rsidRPr="004C7143">
        <w:rPr>
          <w:rFonts w:ascii="Tahoma" w:eastAsia="Times New Roman" w:hAnsi="Tahoma" w:cs="Tahoma"/>
          <w:b/>
          <w:bCs/>
          <w:sz w:val="22"/>
          <w:szCs w:val="22"/>
          <w:lang w:val="es-ES" w:eastAsia="es-ES"/>
        </w:rPr>
        <w:t xml:space="preserve"> </w:t>
      </w:r>
      <w:r w:rsidRPr="004C7143">
        <w:rPr>
          <w:rFonts w:ascii="Tahoma" w:eastAsia="Times New Roman" w:hAnsi="Tahoma" w:cs="Tahoma"/>
          <w:sz w:val="22"/>
          <w:szCs w:val="22"/>
          <w:lang w:val="es-ES" w:eastAsia="es-ES"/>
        </w:rPr>
        <w:t>SPET, Turismo de Tenerife, S.A., pone a disposición de los/las denunciantes.</w:t>
      </w:r>
    </w:p>
    <w:p w14:paraId="01E700C0" w14:textId="77777777" w:rsidR="00DE2241" w:rsidRPr="004C7143" w:rsidRDefault="00DE2241" w:rsidP="00DE2241">
      <w:pPr>
        <w:spacing w:before="100" w:beforeAutospacing="1" w:after="100" w:afterAutospacing="1" w:line="360" w:lineRule="auto"/>
        <w:ind w:right="-8"/>
        <w:jc w:val="both"/>
        <w:rPr>
          <w:rFonts w:ascii="Tahoma" w:eastAsia="Times New Roman" w:hAnsi="Tahoma" w:cs="Tahoma"/>
          <w:sz w:val="22"/>
          <w:szCs w:val="22"/>
          <w:lang w:val="es-ES" w:eastAsia="es-ES"/>
        </w:rPr>
      </w:pPr>
      <w:r w:rsidRPr="004C7143">
        <w:rPr>
          <w:rFonts w:ascii="Tahoma" w:eastAsia="Times New Roman" w:hAnsi="Tahoma" w:cs="Tahoma"/>
          <w:sz w:val="22"/>
          <w:szCs w:val="22"/>
          <w:lang w:eastAsia="es-ES"/>
        </w:rPr>
        <w:t xml:space="preserve">Puede obtener información adicional y detallada o acceder a los formularios de denuncia puestos a disposición en: </w:t>
      </w:r>
      <w:hyperlink r:id="rId13" w:history="1">
        <w:r w:rsidRPr="004C7143">
          <w:rPr>
            <w:rStyle w:val="Hipervnculo"/>
            <w:rFonts w:eastAsia="Times New Roman" w:cs="Tahoma"/>
            <w:b/>
            <w:bCs/>
            <w:sz w:val="22"/>
            <w:szCs w:val="22"/>
            <w:lang w:val="es-ES" w:eastAsia="es-ES"/>
          </w:rPr>
          <w:t>http://spet.cumplimientonormativo.info/cdd</w:t>
        </w:r>
      </w:hyperlink>
    </w:p>
    <w:p w14:paraId="508A3B49" w14:textId="77777777" w:rsidR="0081646B" w:rsidRPr="00DE2241" w:rsidRDefault="0081646B" w:rsidP="00DC157D">
      <w:pPr>
        <w:rPr>
          <w:lang w:val="es-ES"/>
        </w:rPr>
      </w:pPr>
    </w:p>
    <w:sectPr w:rsidR="0081646B" w:rsidRPr="00DE2241" w:rsidSect="008161EC">
      <w:headerReference w:type="default" r:id="rId14"/>
      <w:footerReference w:type="default" r:id="rId15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004A" w14:textId="77777777" w:rsidR="00881AE0" w:rsidRDefault="00881AE0" w:rsidP="00CB09E4">
      <w:r>
        <w:separator/>
      </w:r>
    </w:p>
  </w:endnote>
  <w:endnote w:type="continuationSeparator" w:id="0">
    <w:p w14:paraId="0E93B387" w14:textId="77777777" w:rsidR="00881AE0" w:rsidRDefault="00881AE0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Content>
      <w:p w14:paraId="029B5658" w14:textId="77777777" w:rsidR="00A91231" w:rsidRPr="00B24194" w:rsidRDefault="00893209" w:rsidP="00B24194">
        <w:pPr>
          <w:pStyle w:val="Piedepgina"/>
          <w:spacing w:before="0"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F166F78" wp14:editId="2ABF3758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04BB0244" wp14:editId="15528F45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5EA26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4C2489D2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30C82B36" w14:textId="77777777" w:rsid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4BB0244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43F5EA26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4C2489D2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30C82B36" w14:textId="77777777" w:rsidR="00893209" w:rsidRDefault="00893209" w:rsidP="00893209">
                        <w:pPr>
                          <w:pStyle w:val="Piedepgina"/>
                          <w:spacing w:before="0"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B4F161F" wp14:editId="441064C0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3457ED7C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4F161F" id="Rectángulo 25" o:spid="_x0000_s1027" style="position:absolute;left:0;text-align:left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3457ED7C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13D2" w14:textId="77777777" w:rsidR="00881AE0" w:rsidRDefault="00881AE0" w:rsidP="00CB09E4">
      <w:r>
        <w:separator/>
      </w:r>
    </w:p>
  </w:footnote>
  <w:footnote w:type="continuationSeparator" w:id="0">
    <w:p w14:paraId="0D69E366" w14:textId="77777777" w:rsidR="00881AE0" w:rsidRDefault="00881AE0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637B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21D757" wp14:editId="174F0F9B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6D67"/>
    <w:multiLevelType w:val="hybridMultilevel"/>
    <w:tmpl w:val="9B7668E2"/>
    <w:lvl w:ilvl="0" w:tplc="9644346A">
      <w:start w:val="1"/>
      <w:numFmt w:val="decimal"/>
      <w:pStyle w:val="Ttulo3"/>
      <w:lvlText w:val="%1."/>
      <w:lvlJc w:val="left"/>
      <w:pPr>
        <w:ind w:left="1440" w:hanging="360"/>
      </w:pPr>
      <w:rPr>
        <w:rFonts w:ascii="Arial" w:hAnsi="Arial" w:hint="default"/>
        <w:b/>
        <w:i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468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41"/>
    <w:rsid w:val="0009386B"/>
    <w:rsid w:val="000A607F"/>
    <w:rsid w:val="00141284"/>
    <w:rsid w:val="001C5BC9"/>
    <w:rsid w:val="001F7E78"/>
    <w:rsid w:val="00230483"/>
    <w:rsid w:val="00234923"/>
    <w:rsid w:val="002776B5"/>
    <w:rsid w:val="002B4AEC"/>
    <w:rsid w:val="003317B7"/>
    <w:rsid w:val="004E2946"/>
    <w:rsid w:val="00590ABA"/>
    <w:rsid w:val="006D1E3D"/>
    <w:rsid w:val="00723737"/>
    <w:rsid w:val="007913DD"/>
    <w:rsid w:val="007B4283"/>
    <w:rsid w:val="008158CC"/>
    <w:rsid w:val="008161EC"/>
    <w:rsid w:val="0081646B"/>
    <w:rsid w:val="00840F6A"/>
    <w:rsid w:val="00881AE0"/>
    <w:rsid w:val="00893209"/>
    <w:rsid w:val="008C657D"/>
    <w:rsid w:val="008D6DBB"/>
    <w:rsid w:val="00920594"/>
    <w:rsid w:val="00990E23"/>
    <w:rsid w:val="00A91231"/>
    <w:rsid w:val="00B24194"/>
    <w:rsid w:val="00B81B11"/>
    <w:rsid w:val="00CB09E4"/>
    <w:rsid w:val="00CF415F"/>
    <w:rsid w:val="00D277D0"/>
    <w:rsid w:val="00D6700A"/>
    <w:rsid w:val="00DA2047"/>
    <w:rsid w:val="00DC157D"/>
    <w:rsid w:val="00DE2241"/>
    <w:rsid w:val="00E80087"/>
    <w:rsid w:val="00E960E7"/>
    <w:rsid w:val="00ED5DF1"/>
    <w:rsid w:val="00EF6E65"/>
    <w:rsid w:val="00F03AE6"/>
    <w:rsid w:val="00F07C7E"/>
    <w:rsid w:val="00F1753A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64404"/>
  <w15:chartTrackingRefBased/>
  <w15:docId w15:val="{1C9A7279-6C92-4792-AA65-DCDD4AB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41"/>
    <w:rPr>
      <w:kern w:val="0"/>
      <w:lang w:val="es-ES_tradnl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spacing w:before="240" w:line="288" w:lineRule="auto"/>
      <w:jc w:val="both"/>
      <w:outlineLvl w:val="0"/>
    </w:pPr>
    <w:rPr>
      <w:rFonts w:ascii="Tahoma" w:eastAsiaTheme="majorEastAsia" w:hAnsi="Tahoma" w:cstheme="majorBidi"/>
      <w:color w:val="194F9E" w:themeColor="background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spacing w:before="240" w:line="288" w:lineRule="auto"/>
      <w:jc w:val="both"/>
      <w:outlineLvl w:val="1"/>
    </w:pPr>
    <w:rPr>
      <w:rFonts w:ascii="Tahoma" w:eastAsiaTheme="majorEastAsia" w:hAnsi="Tahoma" w:cstheme="majorBidi"/>
      <w:color w:val="194F9E" w:themeColor="background2"/>
      <w:sz w:val="26"/>
      <w:szCs w:val="26"/>
      <w:lang w:val="es-ES"/>
    </w:rPr>
  </w:style>
  <w:style w:type="paragraph" w:styleId="Ttulo3">
    <w:name w:val="heading 3"/>
    <w:basedOn w:val="Prrafodelista"/>
    <w:next w:val="Normal"/>
    <w:link w:val="Ttulo3Car"/>
    <w:rsid w:val="00E960E7"/>
    <w:pPr>
      <w:numPr>
        <w:numId w:val="1"/>
      </w:numPr>
      <w:spacing w:before="120" w:after="120" w:line="276" w:lineRule="auto"/>
      <w:outlineLvl w:val="2"/>
    </w:pPr>
    <w:rPr>
      <w:rFonts w:ascii="Arial" w:eastAsia="Times New Roman" w:hAnsi="Arial" w:cstheme="minorHAnsi"/>
      <w:b/>
      <w:bCs/>
      <w:i/>
      <w:iCs/>
      <w:sz w:val="24"/>
      <w:szCs w:val="22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194F9E" w:themeColor="background2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  <w:spacing w:before="240" w:line="288" w:lineRule="auto"/>
      <w:jc w:val="both"/>
    </w:pPr>
    <w:rPr>
      <w:rFonts w:ascii="Tahoma" w:hAnsi="Tahoma"/>
      <w:sz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  <w:spacing w:before="240" w:line="288" w:lineRule="auto"/>
      <w:jc w:val="both"/>
    </w:pPr>
    <w:rPr>
      <w:rFonts w:ascii="Tahoma" w:hAnsi="Tahoma"/>
      <w:sz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 w:line="288" w:lineRule="auto"/>
      <w:jc w:val="both"/>
    </w:pPr>
    <w:rPr>
      <w:rFonts w:ascii="Times New Roman" w:eastAsia="Times New Roman" w:hAnsi="Times New Roman" w:cs="Times New Roman"/>
      <w:sz w:val="22"/>
      <w:lang w:val="es-ES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E960E7"/>
    <w:rPr>
      <w:rFonts w:ascii="Arial" w:eastAsia="Times New Roman" w:hAnsi="Arial" w:cstheme="minorHAnsi"/>
      <w:b/>
      <w:bCs/>
      <w:i/>
      <w:iCs/>
      <w:kern w:val="0"/>
      <w:szCs w:val="22"/>
      <w:lang w:eastAsia="es-ES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/>
      <w:contextualSpacing/>
      <w:jc w:val="both"/>
    </w:pPr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60E7"/>
    <w:pPr>
      <w:spacing w:before="240" w:line="288" w:lineRule="auto"/>
      <w:ind w:left="720"/>
      <w:contextualSpacing/>
      <w:jc w:val="both"/>
    </w:pPr>
    <w:rPr>
      <w:rFonts w:ascii="Tahoma" w:hAnsi="Tahoma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pet.cumplimientonormativo.info/cd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pet.cumplimientonormativo.info/cd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tenerif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268D69137001458ADB82E5C0DC1332" ma:contentTypeVersion="14" ma:contentTypeDescription="Crear nuevo documento." ma:contentTypeScope="" ma:versionID="bc6208af9e72f0db34a411029e7a2be5">
  <xsd:schema xmlns:xsd="http://www.w3.org/2001/XMLSchema" xmlns:xs="http://www.w3.org/2001/XMLSchema" xmlns:p="http://schemas.microsoft.com/office/2006/metadata/properties" xmlns:ns2="7a030247-bcf2-4dab-b291-840fc3fe1848" xmlns:ns3="0f2d3a78-3b2f-46a8-9bb4-3313d07095ff" xmlns:ns4="http://schemas.microsoft.com/sharepoint/v3/fields" targetNamespace="http://schemas.microsoft.com/office/2006/metadata/properties" ma:root="true" ma:fieldsID="905554ea3e5585bc32352efe2ba77ee0" ns2:_="" ns3:_="" ns4:_="">
    <xsd:import namespace="7a030247-bcf2-4dab-b291-840fc3fe1848"/>
    <xsd:import namespace="0f2d3a78-3b2f-46a8-9bb4-3313d07095f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4:_Vers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30247-bcf2-4dab-b291-840fc3fe1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3a78-3b2f-46a8-9bb4-3313d0709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sió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D2126FA-FA89-4087-8937-D4D33D69C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30247-bcf2-4dab-b291-840fc3fe1848"/>
    <ds:schemaRef ds:uri="0f2d3a78-3b2f-46a8-9bb4-3313d07095f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5</cp:revision>
  <dcterms:created xsi:type="dcterms:W3CDTF">2023-10-24T11:38:00Z</dcterms:created>
  <dcterms:modified xsi:type="dcterms:W3CDTF">2023-10-24T11:46:00Z</dcterms:modified>
</cp:coreProperties>
</file>